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方正小标宋_GBK" w:hAnsi="Arial" w:eastAsia="方正小标宋_GBK" w:cs="Arial"/>
          <w:sz w:val="44"/>
          <w:szCs w:val="44"/>
        </w:rPr>
      </w:pPr>
    </w:p>
    <w:p>
      <w:pPr>
        <w:spacing w:line="540" w:lineRule="exact"/>
        <w:jc w:val="both"/>
        <w:rPr>
          <w:rFonts w:hint="eastAsia" w:ascii="方正小标宋_GBK" w:hAnsi="Arial" w:eastAsia="方正小标宋_GBK" w:cs="Arial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Arial" w:eastAsia="方正小标宋_GBK" w:cs="Arial"/>
          <w:sz w:val="44"/>
          <w:szCs w:val="44"/>
          <w:lang w:eastAsia="zh-CN"/>
        </w:rPr>
        <w:t>九三学社黄山市委</w:t>
      </w:r>
      <w:r>
        <w:rPr>
          <w:rFonts w:hint="eastAsia" w:ascii="方正小标宋_GBK" w:hAnsi="Arial" w:eastAsia="方正小标宋_GBK" w:cs="Arial"/>
          <w:sz w:val="44"/>
          <w:szCs w:val="44"/>
        </w:rPr>
        <w:t>项目支出绩效评价报告</w:t>
      </w:r>
    </w:p>
    <w:p>
      <w:pPr>
        <w:spacing w:line="540" w:lineRule="exact"/>
        <w:ind w:firstLine="600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项目</w:t>
      </w:r>
      <w:r>
        <w:rPr>
          <w:rFonts w:ascii="黑体" w:hAnsi="黑体" w:eastAsia="黑体" w:cs="黑体"/>
          <w:sz w:val="32"/>
          <w:szCs w:val="32"/>
        </w:rPr>
        <w:t>基本情况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（一）项目概况。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九三学社黄山市委项目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工作经费项目为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民主党派成员工作和活动经费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，其内容涵盖加强自身建设，履行参政党职能，围绕市委市政府中心工作，积极参政议政、民主监督、参加中国共产党领导的政治协商，开展社会服务等。项目年初预算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26.96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元，全年预算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26.46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实际执行数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26.35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万元，执行率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99.58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主要目标为：坚持以习近平新时代中国特色社会主义思想为指导，在全市社组织深入开展“凝心铸魂强根基、团结奋进新征程”主题教育，带领全市社员坚持学思用贯通、知信行统一，围绕加快推进中国式现代化建设，认真落实社中央、社省委和中共市委部署的任务，结合“作风建设主题年”活动，不断改进工作作风，进一步提高履职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切实履行新时代中国特色社会主义参政党职能。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二、绩效评价工作开展情况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绩效自评的对象和范围，在202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年度部门预算编制绩效目标的项目中，优先选择部门履职的项目，选择一般性项目开展绩效评价。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绩效评价从项目执行率、项目产出、项目效益、项目满意度等方面，利用党派开展自身建设、民主监督、参政议政、社会服务等工作实绩进行评价。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为加强财政支出管理，提高财政资金使用效益，根据《黄山市财政局关于开展202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年度市级预算支出绩效单位自评和部门评价工作的通知》（黄财绩〔202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号）文件要求，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九三学社</w:t>
      </w:r>
      <w:r>
        <w:rPr>
          <w:rFonts w:hint="eastAsia" w:ascii="仿宋_GB2312" w:hAnsi="仿宋_GB2312" w:eastAsia="仿宋_GB2312" w:cs="仿宋_GB2312"/>
          <w:sz w:val="32"/>
          <w:szCs w:val="32"/>
        </w:rPr>
        <w:t>黄山市委会开展绩效自评工作，对202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年度项目绩效情况进行总结自评。经自评，202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年度各项工作不断推进，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九三学社</w:t>
      </w:r>
      <w:r>
        <w:rPr>
          <w:rFonts w:hint="eastAsia" w:ascii="仿宋_GB2312" w:hAnsi="仿宋_GB2312" w:eastAsia="仿宋_GB2312" w:cs="仿宋_GB2312"/>
          <w:sz w:val="32"/>
          <w:szCs w:val="32"/>
        </w:rPr>
        <w:t>影响力不断彰显，项目绩效成果显著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三、综合评价情况及评价结论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自评，九三学社黄山市委项目工作经费项目各项指标均达到预期，其中项目产出中的3项数量指标、4项质量指标、3项时效指标、3项成本指标，项目效益中的2项经济指标、3项社会指标、1项生态效益指标、2项可持续影响指标及2项满意度指标均完成原计划。自评得分为满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绩效评价指标分析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九三学社黄山市委会2023年度项目工作经费项目绩效目标计划完成率为99.58%，各项工作按计划要求进行：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一是项目产出达预期。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其中召开各项会议、培训，进行重点课题调研、开展民主监督、社会服务等工作，组织社员开展各种社务活等3项指标批次及人数均达到计划数量指标；信息和提案完成及采用情况、社会服务和民主监督工作完成情况、培训合格率、调研任务完成率，经费支出合规性等4项质量指标均圆满完成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经费按时效支出、课题任务按，确保每一季度都有大型社务活动开展，时效完成成本指标均按相关规定执行；费用标准严格按有关规定执行。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二是项目效益较显著。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全市九三社员发挥优势为地方经济、社会发展建言献策、汇智聚力，今年全社共完成课题调研20个，参与中共黄山市委政党协商2次，提交省政协集体提案2件，向市政协提交大会发言3篇，集体提案14件。反映社情民意信息工作在全省市级组织中位列第三，共采编社情民意信息167篇，被全国政协、零讯、社中央等多渠道采用；助力乡村振兴，积极开展消费帮扶；不断拓展品牌领域，提高社会服务成效，开展义诊、科普讲座等社会服务超过20次，受益群众超过3000人次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九三学社社会影响力进一步扩大；全市社员争做“双岗双责双优秀”，2023年九三学社多项工作获得社省委、社中央表彰，多名社员在本职岗位荣获国家、省市表彰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严把组织发展“入口关”，今年以来共发展新社员15人，主体界别占80%。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三是满意度高。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经调研测评，全市九三社员、对口帮扶村以及社会服务对象对九三学社工作满意度超95%。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主要经验及做法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ascii="黑体" w:hAnsi="黑体" w:eastAsia="黑体" w:cs="黑体"/>
          <w:sz w:val="32"/>
          <w:szCs w:val="32"/>
        </w:rPr>
        <w:t>存在问题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default" w:ascii="仿宋_GB2312" w:hAnsi="FangSong_GB2312" w:eastAsia="仿宋_GB2312"/>
          <w:sz w:val="32"/>
          <w:szCs w:val="32"/>
          <w:lang w:val="en-US" w:eastAsia="zh-CN"/>
        </w:rPr>
        <w:t>项目立项程序规范、绩效指标明确</w:t>
      </w:r>
      <w:r>
        <w:rPr>
          <w:rFonts w:hint="eastAsia" w:ascii="仿宋_GB2312" w:hAnsi="FangSong_GB2312" w:eastAsia="仿宋_GB2312"/>
          <w:sz w:val="32"/>
          <w:szCs w:val="32"/>
          <w:lang w:val="en-US" w:eastAsia="zh-CN"/>
        </w:rPr>
        <w:t>、强化制度规范和过程管控，是提高</w:t>
      </w:r>
      <w:r>
        <w:rPr>
          <w:rFonts w:hint="default" w:ascii="仿宋_GB2312" w:hAnsi="FangSong_GB2312" w:eastAsia="仿宋_GB2312"/>
          <w:sz w:val="32"/>
          <w:szCs w:val="32"/>
          <w:lang w:val="en-US" w:eastAsia="zh-CN"/>
        </w:rPr>
        <w:t>资金使用效益</w:t>
      </w:r>
      <w:r>
        <w:rPr>
          <w:rFonts w:hint="eastAsia" w:ascii="仿宋_GB2312" w:hAnsi="FangSong_GB2312" w:eastAsia="仿宋_GB2312"/>
          <w:sz w:val="32"/>
          <w:szCs w:val="32"/>
          <w:lang w:val="en-US" w:eastAsia="zh-CN"/>
        </w:rPr>
        <w:t>的必要手段。</w:t>
      </w:r>
      <w:r>
        <w:rPr>
          <w:rFonts w:hint="default" w:ascii="仿宋_GB2312" w:hAnsi="FangSong_GB2312" w:eastAsia="仿宋_GB2312"/>
          <w:sz w:val="32"/>
          <w:szCs w:val="32"/>
          <w:highlight w:val="none"/>
          <w:lang w:val="en-US" w:eastAsia="zh-CN"/>
        </w:rPr>
        <w:t>存在问题</w:t>
      </w:r>
      <w:r>
        <w:rPr>
          <w:rFonts w:hint="eastAsia" w:ascii="仿宋_GB2312" w:hAnsi="FangSong_GB2312" w:eastAsia="仿宋_GB2312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FangSong_GB2312" w:eastAsia="仿宋_GB2312"/>
          <w:sz w:val="32"/>
          <w:szCs w:val="32"/>
          <w:lang w:val="en-US" w:eastAsia="zh-CN"/>
        </w:rPr>
        <w:t>项目经费安排不尽合理，</w:t>
      </w:r>
      <w:r>
        <w:rPr>
          <w:rFonts w:hint="eastAsia" w:ascii="仿宋_GB2312" w:hAnsi="FangSong_GB2312" w:eastAsia="仿宋_GB2312"/>
          <w:sz w:val="32"/>
          <w:szCs w:val="32"/>
          <w:highlight w:val="none"/>
          <w:lang w:val="en-US" w:eastAsia="zh-CN"/>
        </w:rPr>
        <w:t>项目实施时序进度安排不够科学</w:t>
      </w:r>
      <w:r>
        <w:rPr>
          <w:rFonts w:hint="default" w:ascii="仿宋_GB2312" w:hAnsi="FangSong_GB2312" w:eastAsia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有关建议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下一步，我单位将继续严守各项财政规定，完善内控制度，根据工作进度合理安排项目实施进度，进一步提高资金使用效率，促进有限的资金效用最大化。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adjustRightInd/>
        <w:spacing w:line="560" w:lineRule="exact"/>
        <w:ind w:firstLine="36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九三学社黄山市委员会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adjustRightInd/>
        <w:spacing w:line="560" w:lineRule="exact"/>
        <w:ind w:firstLine="640" w:firstLineChars="200"/>
        <w:jc w:val="right"/>
        <w:textAlignment w:val="auto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2024年6月27日        </w:t>
      </w:r>
    </w:p>
    <w:sectPr>
      <w:headerReference r:id="rId3" w:type="default"/>
      <w:footerReference r:id="rId4" w:type="default"/>
      <w:pgSz w:w="11906" w:h="16838"/>
      <w:pgMar w:top="2155" w:right="1531" w:bottom="1418" w:left="1588" w:header="737" w:footer="851" w:gutter="0"/>
      <w:cols w:space="720" w:num="1"/>
      <w:docGrid w:type="lines" w:linePitch="312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8DC176"/>
    <w:multiLevelType w:val="singleLevel"/>
    <w:tmpl w:val="C58DC17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F32B520"/>
    <w:multiLevelType w:val="singleLevel"/>
    <w:tmpl w:val="0F32B52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5MWI3ZDMxYjlhNTk3MTI5ZWQ2YWU3MjVlMTE1OWQifQ=="/>
  </w:docVars>
  <w:rsids>
    <w:rsidRoot w:val="00B575E0"/>
    <w:rsid w:val="00123F02"/>
    <w:rsid w:val="002972BE"/>
    <w:rsid w:val="00A556CE"/>
    <w:rsid w:val="00B575E0"/>
    <w:rsid w:val="00D068BC"/>
    <w:rsid w:val="0721721E"/>
    <w:rsid w:val="0898234B"/>
    <w:rsid w:val="30B62150"/>
    <w:rsid w:val="35F1068C"/>
    <w:rsid w:val="3A04322D"/>
    <w:rsid w:val="3C3A205D"/>
    <w:rsid w:val="3DBE08A6"/>
    <w:rsid w:val="4857063E"/>
    <w:rsid w:val="584F5932"/>
    <w:rsid w:val="5F2F05E7"/>
    <w:rsid w:val="64647360"/>
    <w:rsid w:val="67467C38"/>
    <w:rsid w:val="6BFEA660"/>
    <w:rsid w:val="79CD1C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autoSpaceDE w:val="0"/>
      <w:autoSpaceDN w:val="0"/>
      <w:jc w:val="both"/>
    </w:pPr>
    <w:rPr>
      <w:rFonts w:ascii="Calibri" w:hAnsi="宋体" w:eastAsia="宋体" w:cs="宋体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1569</Words>
  <Characters>1630</Characters>
  <Lines>2</Lines>
  <Paragraphs>1</Paragraphs>
  <TotalTime>12</TotalTime>
  <ScaleCrop>false</ScaleCrop>
  <LinksUpToDate>false</LinksUpToDate>
  <CharactersWithSpaces>1654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2020-03-05T19:12:00Z</dcterms:created>
  <dc:creator>liulu</dc:creator>
  <cp:lastModifiedBy>嬷嬷</cp:lastModifiedBy>
  <cp:lastPrinted>2024-06-27T01:58:04Z</cp:lastPrinted>
  <dcterms:modified xsi:type="dcterms:W3CDTF">2024-06-27T01:58:15Z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5D085F882A9DCCC837D58264527DE147</vt:lpwstr>
  </property>
</Properties>
</file>